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2C2868A" w14:textId="77777777" w:rsidTr="0041512A">
        <w:tc>
          <w:tcPr>
            <w:tcW w:w="2263" w:type="dxa"/>
          </w:tcPr>
          <w:p w14:paraId="05764B37" w14:textId="7AE977F8" w:rsidR="0041512A" w:rsidRDefault="001070DF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"../PROCEDIMENTI.docx" </w:instrText>
            </w:r>
            <w:r>
              <w:fldChar w:fldCharType="separate"/>
            </w:r>
            <w:r w:rsidR="00340491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6303148" w14:textId="77777777" w:rsidR="0041512A" w:rsidRDefault="005B16ED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per corrispondenza o TV</w:t>
            </w:r>
          </w:p>
        </w:tc>
        <w:tc>
          <w:tcPr>
            <w:tcW w:w="1979" w:type="dxa"/>
          </w:tcPr>
          <w:p w14:paraId="21DF68C1" w14:textId="1AB025D2" w:rsidR="0041512A" w:rsidRPr="0041512A" w:rsidRDefault="001070DF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987E689" w14:textId="77777777" w:rsidTr="0041512A">
        <w:tc>
          <w:tcPr>
            <w:tcW w:w="9629" w:type="dxa"/>
            <w:gridSpan w:val="3"/>
          </w:tcPr>
          <w:p w14:paraId="4BB0081E" w14:textId="560B50E7" w:rsidR="00F33A15" w:rsidRPr="003357EF" w:rsidRDefault="003357E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357E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B343247" w14:textId="77777777" w:rsidR="005B16ED" w:rsidRP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Intesa quale vendita al dettaglio per corrispondenza o tramite televisione o altri sistemi di comunicazione.</w:t>
            </w:r>
          </w:p>
          <w:p w14:paraId="5C799D4A" w14:textId="77777777" w:rsidR="005B16ED" w:rsidRP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È vietato inviare prodotti al consumatore se non a seguito di specifica richiesta.</w:t>
            </w:r>
          </w:p>
          <w:p w14:paraId="4094155F" w14:textId="77777777" w:rsidR="005B16ED" w:rsidRP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È consentito l'invio di campioni di prodotti o di omaggi, senza spese o vincoli per il consumatore.</w:t>
            </w:r>
          </w:p>
          <w:p w14:paraId="2AE6D5C9" w14:textId="77777777" w:rsidR="005B16ED" w:rsidRP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Nei casi in cui le operazioni di vendita sono effettuate tramite televisione, l'emittente televisiva deve accertare,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B16ED">
              <w:rPr>
                <w:color w:val="000000"/>
                <w:sz w:val="20"/>
                <w:szCs w:val="20"/>
                <w:u w:val="none"/>
              </w:rPr>
              <w:t>prima di metterle in onda, che il titolare dell'attività abbia fatto la dovuta segnalazione al SUAP sede d’impresa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B16ED">
              <w:rPr>
                <w:color w:val="000000"/>
                <w:sz w:val="20"/>
                <w:szCs w:val="20"/>
                <w:u w:val="none"/>
              </w:rPr>
              <w:t>ed abbia regolare ricevuta. Durante la trasmissione debbono essere indicati il nome e la denominazione 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B16ED">
              <w:rPr>
                <w:color w:val="000000"/>
                <w:sz w:val="20"/>
                <w:szCs w:val="20"/>
                <w:u w:val="none"/>
              </w:rPr>
              <w:t>ragione sociale e la sede del venditore, il numero di iscrizione al registro delle imprese ed il numero della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B16ED">
              <w:rPr>
                <w:color w:val="000000"/>
                <w:sz w:val="20"/>
                <w:szCs w:val="20"/>
                <w:u w:val="none"/>
              </w:rPr>
              <w:t>partita IVA.</w:t>
            </w:r>
          </w:p>
          <w:p w14:paraId="74A43F08" w14:textId="77777777" w:rsidR="005B16ED" w:rsidRP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Le operazioni di vendita all'asta realizzate per mezzo della televisione o di altri sistemi di comunicazione sono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B16ED">
              <w:rPr>
                <w:color w:val="000000"/>
                <w:sz w:val="20"/>
                <w:szCs w:val="20"/>
                <w:u w:val="none"/>
              </w:rPr>
              <w:t>vietate.</w:t>
            </w:r>
          </w:p>
          <w:p w14:paraId="5C130CE4" w14:textId="77777777" w:rsidR="005B16ED" w:rsidRDefault="005B16ED" w:rsidP="005B16ED">
            <w:pPr>
              <w:autoSpaceDE w:val="0"/>
              <w:autoSpaceDN w:val="0"/>
              <w:adjustRightInd w:val="0"/>
              <w:ind w:left="164" w:right="170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B16ED">
              <w:rPr>
                <w:color w:val="000000"/>
                <w:sz w:val="20"/>
                <w:szCs w:val="20"/>
                <w:u w:val="none"/>
              </w:rPr>
              <w:t>Per questa forma di vendita trova applicazione il diritto di recesso ai sensi del vigente Codice del Consumo.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3BE3BBB" w14:textId="77777777" w:rsidR="003357EF" w:rsidRDefault="003357EF" w:rsidP="00B20466">
            <w:pPr>
              <w:tabs>
                <w:tab w:val="left" w:pos="873"/>
              </w:tabs>
              <w:ind w:left="164" w:right="425"/>
              <w:jc w:val="both"/>
              <w:rPr>
                <w:b/>
                <w:bCs/>
                <w:color w:val="C00000"/>
                <w:u w:val="none"/>
              </w:rPr>
            </w:pPr>
          </w:p>
          <w:p w14:paraId="2B71187D" w14:textId="2F427639" w:rsidR="003357EF" w:rsidRPr="00AB4C12" w:rsidRDefault="003357EF" w:rsidP="003357E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CC5459C" w14:textId="254DDB7B" w:rsidR="003357EF" w:rsidRPr="00EC2A1F" w:rsidRDefault="003357EF" w:rsidP="00232B6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  <w:r w:rsidRPr="00EC2A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Il commercio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per Corrispondenza o TV</w:t>
            </w: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può essere esercitato anche presso la propria abitazione </w:t>
            </w:r>
            <w:r w:rsidRPr="00EC2A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 osservanza delle modalità che disciplinano le differenziazioni merceologiche e la vendita di specifici prodotti ottenendo le dovute ammissibilità o autorizzazioni.</w:t>
            </w:r>
            <w:r w:rsidRPr="00EC2A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270C2F1D" w14:textId="77777777" w:rsidR="003357EF" w:rsidRPr="00EC2A1F" w:rsidRDefault="003357EF" w:rsidP="003357EF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89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Agli organi di vigilanza è consentito il libero accesso al locale indicato come sede del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l’attività anche se privata dimora</w:t>
            </w: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.</w:t>
            </w:r>
          </w:p>
          <w:p w14:paraId="19784347" w14:textId="77777777" w:rsidR="003357EF" w:rsidRPr="00F73D96" w:rsidRDefault="003357EF" w:rsidP="003357EF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C362ADE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6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45178727" w14:textId="77777777" w:rsidR="00232B6A" w:rsidRDefault="00232B6A" w:rsidP="00232B6A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2A8AA6D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0B9EE77A" w14:textId="77777777" w:rsidR="00232B6A" w:rsidRDefault="00232B6A" w:rsidP="00232B6A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6A22D88F" w14:textId="0B59259A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line="256" w:lineRule="auto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55DACA5A" w14:textId="77777777" w:rsidR="00232B6A" w:rsidRDefault="00232B6A" w:rsidP="00232B6A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4591C7D2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tabs>
                <w:tab w:val="left" w:pos="873"/>
              </w:tabs>
              <w:spacing w:after="120" w:line="256" w:lineRule="auto"/>
              <w:ind w:right="425"/>
              <w:jc w:val="both"/>
              <w:rPr>
                <w:rStyle w:val="Collegamentoipertestuale"/>
                <w:sz w:val="24"/>
                <w:szCs w:val="24"/>
              </w:rPr>
            </w:pPr>
            <w:hyperlink r:id="rId9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Come si calcola la superficie di vendita</w:t>
              </w:r>
            </w:hyperlink>
          </w:p>
          <w:p w14:paraId="04AB9710" w14:textId="77777777" w:rsidR="00232B6A" w:rsidRDefault="00232B6A" w:rsidP="00232B6A">
            <w:pPr>
              <w:pStyle w:val="Paragrafoelenco"/>
              <w:spacing w:after="120"/>
              <w:ind w:left="524"/>
              <w:rPr>
                <w:sz w:val="12"/>
                <w:szCs w:val="12"/>
                <w:u w:val="none"/>
              </w:rPr>
            </w:pPr>
          </w:p>
          <w:p w14:paraId="45CEF723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0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Settori merceologici di vendita</w:t>
              </w:r>
            </w:hyperlink>
          </w:p>
          <w:p w14:paraId="2FEBC7A4" w14:textId="77777777" w:rsidR="00232B6A" w:rsidRDefault="00232B6A" w:rsidP="00232B6A">
            <w:pPr>
              <w:pStyle w:val="Paragrafoelenco"/>
              <w:spacing w:after="120"/>
              <w:ind w:left="524"/>
              <w:rPr>
                <w:sz w:val="12"/>
                <w:szCs w:val="12"/>
                <w:u w:val="none"/>
              </w:rPr>
            </w:pPr>
          </w:p>
          <w:p w14:paraId="0356B4D3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1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Vendita specifici prodotti</w:t>
              </w:r>
            </w:hyperlink>
          </w:p>
          <w:p w14:paraId="3063B8C0" w14:textId="77777777" w:rsidR="00232B6A" w:rsidRDefault="00232B6A" w:rsidP="00232B6A">
            <w:pPr>
              <w:pStyle w:val="Paragrafoelenco"/>
              <w:ind w:left="524"/>
              <w:rPr>
                <w:sz w:val="12"/>
                <w:szCs w:val="12"/>
                <w:u w:val="none"/>
              </w:rPr>
            </w:pPr>
          </w:p>
          <w:p w14:paraId="7CB37D21" w14:textId="77777777" w:rsidR="00232B6A" w:rsidRDefault="001070DF" w:rsidP="00232B6A">
            <w:pPr>
              <w:pStyle w:val="Paragrafoelenco"/>
              <w:numPr>
                <w:ilvl w:val="0"/>
                <w:numId w:val="9"/>
              </w:numPr>
              <w:spacing w:before="120"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2" w:history="1">
              <w:r w:rsidR="00232B6A">
                <w:rPr>
                  <w:rStyle w:val="Collegamentoipertestuale"/>
                  <w:b/>
                  <w:sz w:val="24"/>
                  <w:szCs w:val="24"/>
                </w:rPr>
                <w:t>Requisiti oggettivi</w:t>
              </w:r>
            </w:hyperlink>
          </w:p>
          <w:p w14:paraId="0CD463F6" w14:textId="77777777" w:rsidR="00232B6A" w:rsidRDefault="00232B6A" w:rsidP="00232B6A">
            <w:pPr>
              <w:pStyle w:val="Paragrafoelenco"/>
              <w:spacing w:before="120" w:after="120"/>
              <w:ind w:left="524"/>
              <w:rPr>
                <w:bCs/>
                <w:sz w:val="12"/>
                <w:szCs w:val="12"/>
                <w:u w:val="none"/>
              </w:rPr>
            </w:pPr>
          </w:p>
          <w:p w14:paraId="74D4F347" w14:textId="77777777" w:rsidR="00232B6A" w:rsidRPr="00232B6A" w:rsidRDefault="00232B6A" w:rsidP="00232B6A">
            <w:pPr>
              <w:pStyle w:val="Paragrafoelenco"/>
              <w:numPr>
                <w:ilvl w:val="0"/>
                <w:numId w:val="9"/>
              </w:numPr>
              <w:spacing w:before="120" w:line="256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  <w:u w:val="none"/>
              </w:rPr>
            </w:pPr>
            <w:r w:rsidRPr="00232B6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da allegare alla SCIA – </w:t>
            </w:r>
            <w:hyperlink r:id="rId13" w:history="1">
              <w:r w:rsidRPr="00232B6A">
                <w:rPr>
                  <w:rStyle w:val="Collegamentoipertestuale"/>
                  <w:b/>
                  <w:sz w:val="20"/>
                  <w:szCs w:val="20"/>
                  <w:u w:val="none"/>
                </w:rPr>
                <w:t>Modulo</w:t>
              </w:r>
            </w:hyperlink>
          </w:p>
          <w:p w14:paraId="0CC484C0" w14:textId="77777777" w:rsidR="003357EF" w:rsidRDefault="003357EF" w:rsidP="00B20466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9D1B17E" w14:textId="5406324D" w:rsidR="00340491" w:rsidRPr="00C517D5" w:rsidRDefault="00340491" w:rsidP="00340491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517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4BF18F0" w14:textId="30CFCA58" w:rsidR="003357EF" w:rsidRDefault="00340491" w:rsidP="00340491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B2046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Commercio per corrispondenza o </w:t>
            </w:r>
            <w:proofErr w:type="gram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TV </w:t>
            </w:r>
            <w:r w:rsidRPr="00F26737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</w:t>
            </w:r>
            <w:proofErr w:type="gramEnd"/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4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>.</w:t>
              </w:r>
              <w:r w:rsidRPr="00272FED">
                <w:rPr>
                  <w:rStyle w:val="Collegamentoipertestuale"/>
                  <w:b/>
                  <w:u w:val="none"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36CE4F5D" w14:textId="01CA598D" w:rsidR="00340491" w:rsidRDefault="00340491" w:rsidP="00B20466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– Forme speciali di vendita + </w:t>
            </w:r>
            <w:r w:rsidRPr="00B31BF6">
              <w:rPr>
                <w:rStyle w:val="scelta-evidenziata1"/>
                <w:color w:val="auto"/>
                <w:sz w:val="20"/>
                <w:szCs w:val="20"/>
                <w:u w:val="none"/>
              </w:rPr>
              <w:t>Vendita al dettaglio per corrispondenza, televisione e altri sistemi di comunicazione compreso il commercio online</w:t>
            </w:r>
            <w:r>
              <w:rPr>
                <w:b/>
                <w:color w:val="auto"/>
                <w:sz w:val="20"/>
                <w:szCs w:val="20"/>
                <w:u w:val="none"/>
              </w:rPr>
              <w:t>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color w:val="auto"/>
                <w:sz w:val="20"/>
                <w:szCs w:val="20"/>
                <w:u w:val="none"/>
              </w:rPr>
              <w:t>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3643CC04" w14:textId="7B548245" w:rsidR="00340491" w:rsidRDefault="00340491" w:rsidP="00B2046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2046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B2046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232B6A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1F69582" w14:textId="77777777" w:rsidR="00340491" w:rsidRDefault="00340491" w:rsidP="00B20466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212EB179" w14:textId="77777777" w:rsidR="00232B6A" w:rsidRDefault="00232B6A" w:rsidP="0034049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20D43083" w14:textId="77777777" w:rsidR="00232B6A" w:rsidRDefault="00232B6A" w:rsidP="0034049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03500E01" w14:textId="77777777" w:rsidR="00232B6A" w:rsidRDefault="00232B6A" w:rsidP="0034049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107FA0E6" w14:textId="0755D81A" w:rsidR="00340491" w:rsidRDefault="00340491" w:rsidP="0034049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2046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B2046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B4C4B8F" w14:textId="44177FC3" w:rsidR="00340491" w:rsidRDefault="00340491" w:rsidP="0034049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8FB62AD" w14:textId="77777777" w:rsidR="00340491" w:rsidRDefault="00340491" w:rsidP="00340491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2F054364" w14:textId="3BC1148D" w:rsidR="00340491" w:rsidRPr="00AB5F1E" w:rsidRDefault="001070DF" w:rsidP="00340491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6" w:history="1">
              <w:r w:rsidR="00340491" w:rsidRPr="00A82A86">
                <w:rPr>
                  <w:rStyle w:val="Collegamentoipertestuale"/>
                  <w:b/>
                  <w:bCs/>
                </w:rPr>
                <w:t>Allegati</w:t>
              </w:r>
            </w:hyperlink>
            <w:r w:rsidR="00340491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340491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340491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340491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34049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77F7242C" w14:textId="77777777" w:rsidR="00340491" w:rsidRDefault="00340491" w:rsidP="0034049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08C4F1BF" w14:textId="0B42592C" w:rsidR="00B61518" w:rsidRPr="00A960D3" w:rsidRDefault="00B61518" w:rsidP="00B6151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96162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67AD4B4" w14:textId="77777777" w:rsidR="00B61518" w:rsidRDefault="00B61518" w:rsidP="00B6151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8545B4F" w14:textId="564AA5BC" w:rsidR="00340491" w:rsidRDefault="00340491" w:rsidP="00340491">
            <w:pPr>
              <w:pStyle w:val="Paragrafoelenco"/>
              <w:spacing w:after="120"/>
              <w:ind w:left="164"/>
            </w:pPr>
          </w:p>
          <w:p w14:paraId="4D038CC2" w14:textId="20A9A2C7" w:rsidR="002D7311" w:rsidRDefault="001070DF" w:rsidP="002D7311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7" w:history="1">
              <w:r w:rsidR="002D7311">
                <w:rPr>
                  <w:rStyle w:val="Collegamentoipertestuale"/>
                  <w:b/>
                </w:rPr>
                <w:t>Tempistica</w:t>
              </w:r>
            </w:hyperlink>
          </w:p>
          <w:p w14:paraId="0F8A5201" w14:textId="77777777" w:rsidR="002D7311" w:rsidRDefault="002D7311" w:rsidP="0034049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lang w:eastAsia="it-IT"/>
              </w:rPr>
            </w:pPr>
          </w:p>
          <w:p w14:paraId="7F79CEA2" w14:textId="0450FE0B" w:rsidR="00340491" w:rsidRPr="00696162" w:rsidRDefault="00AC4ADC" w:rsidP="00340491">
            <w:pPr>
              <w:ind w:left="164" w:right="312"/>
              <w:jc w:val="both"/>
              <w:rPr>
                <w:rStyle w:val="Collegamentoipertestuale"/>
                <w:rFonts w:eastAsia="Times New Roman"/>
                <w:b/>
                <w:bCs/>
                <w:iCs/>
                <w:color w:val="auto"/>
                <w:sz w:val="22"/>
                <w:szCs w:val="22"/>
                <w:u w:val="none"/>
                <w:lang w:eastAsia="it-IT"/>
              </w:rPr>
            </w:pPr>
            <w:r>
              <w:rPr>
                <w:rFonts w:eastAsia="Times New Roman"/>
                <w:b/>
                <w:bCs/>
                <w:iCs/>
                <w:lang w:eastAsia="it-IT"/>
              </w:rPr>
              <w:fldChar w:fldCharType="begin"/>
            </w:r>
            <w:r w:rsidR="00696162">
              <w:rPr>
                <w:rFonts w:eastAsia="Times New Roman"/>
                <w:b/>
                <w:bCs/>
                <w:iCs/>
                <w:lang w:eastAsia="it-IT"/>
              </w:rPr>
              <w:instrText>HYPERLINK "../../ATECO/Ateco%20Commercio.xlsx"</w:instrText>
            </w:r>
            <w:r>
              <w:rPr>
                <w:rFonts w:eastAsia="Times New Roman"/>
                <w:b/>
                <w:bCs/>
                <w:iCs/>
                <w:lang w:eastAsia="it-IT"/>
              </w:rPr>
              <w:fldChar w:fldCharType="separate"/>
            </w:r>
            <w:r w:rsidR="00340491" w:rsidRPr="00696162">
              <w:rPr>
                <w:rStyle w:val="Collegamentoipertestuale"/>
                <w:rFonts w:eastAsia="Times New Roman"/>
                <w:b/>
                <w:bCs/>
                <w:iCs/>
                <w:lang w:eastAsia="it-IT"/>
              </w:rPr>
              <w:t xml:space="preserve">Codici </w:t>
            </w:r>
            <w:r w:rsidR="003357EF" w:rsidRPr="00696162">
              <w:rPr>
                <w:rStyle w:val="Collegamentoipertestuale"/>
                <w:rFonts w:eastAsia="Times New Roman"/>
                <w:b/>
                <w:bCs/>
                <w:iCs/>
                <w:lang w:eastAsia="it-IT"/>
              </w:rPr>
              <w:t>ATECO</w:t>
            </w:r>
            <w:r w:rsidR="003357EF" w:rsidRPr="00696162">
              <w:rPr>
                <w:rStyle w:val="Collegamentoipertestuale"/>
                <w:rFonts w:eastAsia="Times New Roman"/>
                <w:b/>
                <w:bCs/>
                <w:iCs/>
                <w:u w:val="none"/>
                <w:lang w:eastAsia="it-IT"/>
              </w:rPr>
              <w:t xml:space="preserve"> (</w:t>
            </w:r>
            <w:r w:rsidR="00340491" w:rsidRPr="00696162">
              <w:rPr>
                <w:rStyle w:val="Collegamentoipertestuale"/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vedi commercio da 45 a 47 compreso)</w:t>
            </w:r>
          </w:p>
          <w:p w14:paraId="7EF921FF" w14:textId="77777777" w:rsidR="00340491" w:rsidRPr="00AC4ADC" w:rsidRDefault="00340491" w:rsidP="00340491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2F1CC671" w14:textId="5178DD52" w:rsidR="00A20DBB" w:rsidRPr="00945B26" w:rsidRDefault="00AC4ADC" w:rsidP="00A20DBB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lang w:eastAsia="it-IT"/>
              </w:rPr>
              <w:fldChar w:fldCharType="end"/>
            </w:r>
            <w:hyperlink r:id="rId18" w:history="1">
              <w:r w:rsidR="00340491" w:rsidRPr="00945B26">
                <w:rPr>
                  <w:rStyle w:val="Collegamentoipertestuale"/>
                  <w:b/>
                  <w:color w:val="C00000"/>
                  <w:sz w:val="24"/>
                  <w:szCs w:val="24"/>
                  <w:u w:val="none"/>
                </w:rPr>
                <w:t>Normativa di riferimento</w:t>
              </w:r>
            </w:hyperlink>
            <w:r w:rsidR="0034049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: </w:t>
            </w:r>
            <w:r w:rsidR="0034049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4049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A20DBB" w:rsidRPr="00232B6A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A20DBB" w:rsidRPr="00232B6A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A20DBB" w:rsidRPr="00232B6A">
                <w:rPr>
                  <w:rStyle w:val="Collegamentoipertestuale"/>
                  <w:b/>
                  <w:sz w:val="20"/>
                  <w:szCs w:val="20"/>
                </w:rPr>
                <w:t>e 2^</w:t>
              </w:r>
            </w:hyperlink>
            <w:r w:rsidR="00A20DBB" w:rsidRPr="00945B26">
              <w:rPr>
                <w:color w:val="0000FF"/>
                <w:sz w:val="20"/>
                <w:szCs w:val="20"/>
              </w:rPr>
              <w:t xml:space="preserve"> </w:t>
            </w:r>
            <w:r w:rsidR="00A20DBB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55368BAE" w14:textId="7DF5A4E7" w:rsidR="00340491" w:rsidRDefault="00340491" w:rsidP="00340491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2899672E" w14:textId="77777777" w:rsidR="00340491" w:rsidRPr="005B16ED" w:rsidRDefault="00340491" w:rsidP="00340491">
            <w:pPr>
              <w:pStyle w:val="Rientrocorpodeltesto"/>
              <w:spacing w:after="0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 w:rsidRPr="005B16ED">
              <w:rPr>
                <w:b/>
                <w:color w:val="C00000"/>
                <w:sz w:val="24"/>
                <w:szCs w:val="24"/>
                <w:u w:val="none"/>
              </w:rPr>
              <w:t>Note:</w:t>
            </w:r>
          </w:p>
          <w:p w14:paraId="283CA4B8" w14:textId="77777777" w:rsidR="00BF3398" w:rsidRPr="0041512A" w:rsidRDefault="00BF3398" w:rsidP="00BF3398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DA3D86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9EC"/>
    <w:multiLevelType w:val="hybridMultilevel"/>
    <w:tmpl w:val="53F2E4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9405F"/>
    <w:rsid w:val="00095B03"/>
    <w:rsid w:val="000D362F"/>
    <w:rsid w:val="000E4B7E"/>
    <w:rsid w:val="001070DF"/>
    <w:rsid w:val="00112873"/>
    <w:rsid w:val="00117F1E"/>
    <w:rsid w:val="00173A36"/>
    <w:rsid w:val="001B5128"/>
    <w:rsid w:val="001E037F"/>
    <w:rsid w:val="002210DE"/>
    <w:rsid w:val="00232B6A"/>
    <w:rsid w:val="0023487B"/>
    <w:rsid w:val="00276654"/>
    <w:rsid w:val="002A5D7C"/>
    <w:rsid w:val="002A6285"/>
    <w:rsid w:val="002B375D"/>
    <w:rsid w:val="002B3FF1"/>
    <w:rsid w:val="002D7311"/>
    <w:rsid w:val="003357EF"/>
    <w:rsid w:val="00340491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2382C"/>
    <w:rsid w:val="005930C1"/>
    <w:rsid w:val="005A2592"/>
    <w:rsid w:val="005B16ED"/>
    <w:rsid w:val="005C68B2"/>
    <w:rsid w:val="005C720B"/>
    <w:rsid w:val="00621A5C"/>
    <w:rsid w:val="00651378"/>
    <w:rsid w:val="00692827"/>
    <w:rsid w:val="00696162"/>
    <w:rsid w:val="006A635E"/>
    <w:rsid w:val="006B29D2"/>
    <w:rsid w:val="006B3A13"/>
    <w:rsid w:val="006C7151"/>
    <w:rsid w:val="006F0B93"/>
    <w:rsid w:val="007326D2"/>
    <w:rsid w:val="00733CCC"/>
    <w:rsid w:val="00737DA2"/>
    <w:rsid w:val="0082478D"/>
    <w:rsid w:val="00897F79"/>
    <w:rsid w:val="008F7CA6"/>
    <w:rsid w:val="00901D45"/>
    <w:rsid w:val="00945B26"/>
    <w:rsid w:val="009A4645"/>
    <w:rsid w:val="00A06B50"/>
    <w:rsid w:val="00A20DBB"/>
    <w:rsid w:val="00A40E3B"/>
    <w:rsid w:val="00A433F8"/>
    <w:rsid w:val="00A51D55"/>
    <w:rsid w:val="00AC4ADC"/>
    <w:rsid w:val="00B0731C"/>
    <w:rsid w:val="00B20466"/>
    <w:rsid w:val="00B61518"/>
    <w:rsid w:val="00B66F7C"/>
    <w:rsid w:val="00BF3398"/>
    <w:rsid w:val="00BF42AE"/>
    <w:rsid w:val="00C75D34"/>
    <w:rsid w:val="00CA39A9"/>
    <w:rsid w:val="00CD592E"/>
    <w:rsid w:val="00D16B5E"/>
    <w:rsid w:val="00DC5DC3"/>
    <w:rsid w:val="00DF0435"/>
    <w:rsid w:val="00E118D2"/>
    <w:rsid w:val="00E25843"/>
    <w:rsid w:val="00E660BB"/>
    <w:rsid w:val="00E76CBF"/>
    <w:rsid w:val="00EE371A"/>
    <w:rsid w:val="00F312D0"/>
    <w:rsid w:val="00F33A15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A040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340491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OGRAMMAZIONE/AREE.docx" TargetMode="External"/><Relationship Id="rId13" Type="http://schemas.openxmlformats.org/officeDocument/2006/relationships/hyperlink" Target="file:///C:\Walter\sportello%20unico\Progetto%20PUC\PROCEDIMENTI\Modulistica%20univoca\MU1%20Dichiarazione%20Componente%20PGT.pdf" TargetMode="External"/><Relationship Id="rId18" Type="http://schemas.openxmlformats.org/officeDocument/2006/relationships/hyperlink" Target="file:///C:\S.STEFANO%20TICINO\5%20Procedimenti\Definizioni\Riferimenti%20normativi%20e%20di%20controllo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Walter\sportello%20unico\Progetto%20PUC\PROCEDIMENTI\2%20Settore%20Commercio%20fisso\Definizioni\06%20CF%20Requisiti%20professionali.pdf" TargetMode="External"/><Relationship Id="rId12" Type="http://schemas.openxmlformats.org/officeDocument/2006/relationships/hyperlink" Target="file:///C:\Walter\sportello%20unico\Progetto%20PUC\PROCEDIMENTI\2%20Settore%20Commercio%20fisso\Definizioni\08%20CF%20Requisiti%20oggettivi%20vicinato.pdf" TargetMode="External"/><Relationship Id="rId17" Type="http://schemas.openxmlformats.org/officeDocument/2006/relationships/hyperlink" Target="Definizioni/19%20CF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4%20CF%20Allegati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sportello%20unico\Progetto%20PUC\PROCEDIMENTI\2%20Settore%20Commercio%20fisso\Definizioni\05%20CF%20Requisiti%20onorabilit&#224;.pdf" TargetMode="External"/><Relationship Id="rId11" Type="http://schemas.openxmlformats.org/officeDocument/2006/relationships/hyperlink" Target="file:///C:\Walter\sportello%20unico\Progetto%20PUC\PROCEDIMENTI\2%20Settore%20Commercio%20fisso\Definizioni\04%20CF%20Vendita%20specifici%20prodotti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0" Type="http://schemas.openxmlformats.org/officeDocument/2006/relationships/hyperlink" Target="file:///C:\Walter\sportello%20unico\Progetto%20PUC\PROCEDIMENTI\2%20Settore%20Commercio%20fisso\Definizioni\03%20CF%20Settori%20merceologici.pdf" TargetMode="External"/><Relationship Id="rId19" Type="http://schemas.openxmlformats.org/officeDocument/2006/relationships/hyperlink" Target="../../TUR/Parte%202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ROCEDIMENTI\2%20Settore%20Commercio%20fisso\Definizioni\02%20CF%20Superficie%20di%20vendita.pdf" TargetMode="External"/><Relationship Id="rId14" Type="http://schemas.openxmlformats.org/officeDocument/2006/relationships/hyperlink" Target="https://www.impresainungiorno.gov.it/comune?codCatastale=L5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40</cp:revision>
  <dcterms:created xsi:type="dcterms:W3CDTF">2018-07-17T14:54:00Z</dcterms:created>
  <dcterms:modified xsi:type="dcterms:W3CDTF">2021-04-24T14:26:00Z</dcterms:modified>
</cp:coreProperties>
</file>